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9A" w:rsidRPr="00CB7BA0" w:rsidRDefault="00CB7BA0" w:rsidP="00EF3407">
      <w:pPr>
        <w:pStyle w:val="Heading1"/>
        <w:spacing w:before="120"/>
      </w:pPr>
      <w:r w:rsidRPr="00CB7BA0">
        <w:t>KBFI andmehalduse poliitika</w:t>
      </w:r>
    </w:p>
    <w:p w:rsidR="00CB7BA0" w:rsidRPr="00043239" w:rsidRDefault="00CB7BA0" w:rsidP="00BB211C">
      <w:pPr>
        <w:pStyle w:val="Pealkiri4"/>
      </w:pPr>
      <w:r w:rsidRPr="00043239">
        <w:t>§ 1. Üldsätted</w:t>
      </w:r>
    </w:p>
    <w:p w:rsidR="00CB7BA0" w:rsidRDefault="00CB7BA0" w:rsidP="00043239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</w:pPr>
      <w:r w:rsidRPr="00043239">
        <w:t>KBFI andmehalduse poliitika määrab andmehalduse üldised põhimõtted Keemilise ja</w:t>
      </w:r>
      <w:r w:rsidRPr="00CB7BA0">
        <w:t xml:space="preserve"> Bioloogilise Füüsika Instituudis </w:t>
      </w:r>
      <w:r>
        <w:t>ning struktuuriüksuste ja töötajate ülesanded ja kohustused.</w:t>
      </w:r>
    </w:p>
    <w:p w:rsidR="00CB7BA0" w:rsidRDefault="00CB7BA0" w:rsidP="00043239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</w:pPr>
      <w:r>
        <w:t xml:space="preserve">Käesolev poliitika rakendub </w:t>
      </w:r>
      <w:r w:rsidR="00043239">
        <w:t>kõigi</w:t>
      </w:r>
      <w:r>
        <w:t xml:space="preserve"> KBFI-i liikmete poolt tehtava teadusliku uurimistöö kohta, millel on eeldatavalt kestev teaduslik väärtus</w:t>
      </w:r>
      <w:r w:rsidR="00043239">
        <w:t>.</w:t>
      </w:r>
    </w:p>
    <w:p w:rsidR="00CB7BA0" w:rsidRDefault="00043239" w:rsidP="00CB7BA0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</w:pPr>
      <w:r>
        <w:t>Käesolev poliitika ei rakendu kolmandate osapooltele antavate konsultatsioonide ja osutatavate teadmusteenuste kohta.</w:t>
      </w:r>
    </w:p>
    <w:p w:rsidR="00CB7BA0" w:rsidRPr="00EF3407" w:rsidRDefault="00CB7BA0" w:rsidP="00EF3407">
      <w:pPr>
        <w:pStyle w:val="Heading2"/>
      </w:pPr>
      <w:r w:rsidRPr="00EF3407">
        <w:t>I Mõisted</w:t>
      </w:r>
    </w:p>
    <w:p w:rsidR="00D00812" w:rsidRDefault="00D00812" w:rsidP="00BB211C">
      <w:pPr>
        <w:pStyle w:val="Pealkiri4"/>
      </w:pPr>
      <w:r>
        <w:t>§ 2. Teaduslik uurimistöö</w:t>
      </w:r>
    </w:p>
    <w:p w:rsidR="00D00812" w:rsidRDefault="00CB7BA0" w:rsidP="00CB7BA0">
      <w:r>
        <w:t>Teaduslik uurimistöö on vastavalt OECD Frascati Manuali</w:t>
      </w:r>
      <w:r w:rsidR="00011A47" w:rsidRPr="00011A47">
        <w:rPr>
          <w:vertAlign w:val="superscript"/>
        </w:rPr>
        <w:t>1</w:t>
      </w:r>
      <w:r w:rsidR="00011A47">
        <w:rPr>
          <w:rStyle w:val="FootnoteReference"/>
        </w:rPr>
        <w:footnoteReference w:id="1"/>
      </w:r>
      <w:r w:rsidR="00011A47">
        <w:t xml:space="preserve"> osale 2.1: „Uurimistöö ja eksperimentaalne arendustöö (T&amp;A) koosneb loovast ja süstemaatilisest tööst mida tehakse teadmiste hulga, kaasa arvatud teadmised inimkonna, kultuuri ja ühiskonna kohta ning kavandamaks olemasoleva teadmise uusi rakendusi.“ T&amp;A tegev</w:t>
      </w:r>
      <w:r w:rsidR="00912B15">
        <w:t xml:space="preserve">us peab vastama 5 kriteeriumile, </w:t>
      </w:r>
      <w:r w:rsidR="00011A47">
        <w:t>olema „</w:t>
      </w:r>
      <w:r w:rsidR="00D00812">
        <w:t>uudne, loov, ebakindel (lõpptulemuste suhtes), süstemaatiline ning olema ülekantav ja/või reprodutseeritav.“</w:t>
      </w:r>
    </w:p>
    <w:p w:rsidR="00D00812" w:rsidRPr="00BB211C" w:rsidRDefault="00D00812" w:rsidP="00BB211C">
      <w:pPr>
        <w:pStyle w:val="Pealkiri4"/>
      </w:pPr>
      <w:r w:rsidRPr="00BB211C">
        <w:t>§</w:t>
      </w:r>
      <w:r w:rsidR="00B003A9">
        <w:t xml:space="preserve"> </w:t>
      </w:r>
      <w:r w:rsidRPr="00BB211C">
        <w:t>3</w:t>
      </w:r>
      <w:r w:rsidR="00BB211C" w:rsidRPr="00BB211C">
        <w:t>.</w:t>
      </w:r>
      <w:r w:rsidRPr="00BB211C">
        <w:t xml:space="preserve"> </w:t>
      </w:r>
      <w:r w:rsidR="00043239" w:rsidRPr="00BB211C">
        <w:t>A</w:t>
      </w:r>
      <w:r w:rsidRPr="00BB211C">
        <w:t>ndmed</w:t>
      </w:r>
    </w:p>
    <w:p w:rsidR="00912B15" w:rsidRDefault="00043239" w:rsidP="00912B15">
      <w:pPr>
        <w:pStyle w:val="ListParagraph"/>
        <w:numPr>
          <w:ilvl w:val="0"/>
          <w:numId w:val="2"/>
        </w:numPr>
        <w:ind w:left="426" w:hanging="426"/>
      </w:pPr>
      <w:r>
        <w:t>Uurimistöö andmed (teaduslikud andmed, uurimisandmed</w:t>
      </w:r>
      <w:r w:rsidR="00912B15">
        <w:t>, andmed</w:t>
      </w:r>
      <w:r>
        <w:t>) on Ühendkuningriig</w:t>
      </w:r>
      <w:r w:rsidR="00BB211C">
        <w:t>i dokumendis</w:t>
      </w:r>
      <w:r>
        <w:t xml:space="preserve"> Concordat on Open Data</w:t>
      </w:r>
      <w:r>
        <w:rPr>
          <w:rStyle w:val="FootnoteReference"/>
        </w:rPr>
        <w:footnoteReference w:id="2"/>
      </w:r>
      <w:r>
        <w:t xml:space="preserve"> defineeritud </w:t>
      </w:r>
      <w:r w:rsidR="00BB211C">
        <w:t xml:space="preserve">kui „tõendid, mis põhistavad vastust uurimistöö küsimusele ja mida saab kasutada järelduste kinnitamiseks/tõendamiseks sõltumata </w:t>
      </w:r>
      <w:r w:rsidR="00B003A9">
        <w:t xml:space="preserve">nende </w:t>
      </w:r>
      <w:r w:rsidR="00BB211C">
        <w:t>andmete vormist (trükitud, digitaalne või füüsiline).“ Andmed võivad olla kvantitatiivne teave, tarkvara või kvalitatiivsed avaldused, mille teadlased on kogunud uurimistöös eksperimenteerides, vaadeldes, modelleerides või tuletades olemasolevatest tõenditest.</w:t>
      </w:r>
    </w:p>
    <w:p w:rsidR="00912B15" w:rsidRDefault="000108F9" w:rsidP="00912B15">
      <w:pPr>
        <w:pStyle w:val="ListParagraph"/>
        <w:numPr>
          <w:ilvl w:val="0"/>
          <w:numId w:val="2"/>
        </w:numPr>
        <w:ind w:left="426" w:hanging="426"/>
      </w:pPr>
      <w:r>
        <w:t>Tunnustatud pikaajalise väärtusega andme</w:t>
      </w:r>
      <w:r w:rsidR="00074BA4">
        <w:t>d</w:t>
      </w:r>
      <w:r>
        <w:t xml:space="preserve"> säilitatakse, nad on kättesaadavad ja kasutatavad tulevases uurimistöös.</w:t>
      </w:r>
    </w:p>
    <w:p w:rsidR="000108F9" w:rsidRDefault="00074BA4" w:rsidP="00912B15">
      <w:pPr>
        <w:pStyle w:val="ListParagraph"/>
        <w:numPr>
          <w:ilvl w:val="0"/>
          <w:numId w:val="2"/>
        </w:numPr>
        <w:ind w:left="426" w:hanging="426"/>
      </w:pPr>
      <w:r>
        <w:t>Üldkättesa</w:t>
      </w:r>
      <w:r w:rsidR="00912B15">
        <w:t>ad</w:t>
      </w:r>
      <w:r>
        <w:t>a</w:t>
      </w:r>
      <w:r w:rsidR="00912B15">
        <w:t>vaks ei tehta u</w:t>
      </w:r>
      <w:r w:rsidR="000108F9">
        <w:t>urimisandmeid, mille avaldame on õiguslikult, ee</w:t>
      </w:r>
      <w:r w:rsidR="00912B15">
        <w:t>tiliselt või äriliselt piiratud.</w:t>
      </w:r>
    </w:p>
    <w:p w:rsidR="00912B15" w:rsidRDefault="00912B15" w:rsidP="00912B15">
      <w:pPr>
        <w:pStyle w:val="Pealkiri4"/>
      </w:pPr>
      <w:r>
        <w:t>§ 4. FAIR põhimõtted</w:t>
      </w:r>
      <w:r>
        <w:rPr>
          <w:rStyle w:val="FootnoteReference"/>
        </w:rPr>
        <w:footnoteReference w:id="3"/>
      </w:r>
    </w:p>
    <w:p w:rsidR="00912B15" w:rsidRDefault="00CA7568" w:rsidP="00912B15">
      <w:r>
        <w:t>Pikaajalise väärtusega teaduslikele andmetele rakendub neli põhimõtet:</w:t>
      </w:r>
    </w:p>
    <w:p w:rsidR="00CA7568" w:rsidRDefault="00CA7568" w:rsidP="00CA7568">
      <w:pPr>
        <w:pStyle w:val="ListParagraph"/>
        <w:numPr>
          <w:ilvl w:val="0"/>
          <w:numId w:val="3"/>
        </w:numPr>
      </w:pPr>
      <w:r>
        <w:t>leitavus (</w:t>
      </w:r>
      <w:r w:rsidR="00EE3538">
        <w:t xml:space="preserve">F, </w:t>
      </w:r>
      <w:r w:rsidR="00EE3538" w:rsidRPr="00EE3538">
        <w:rPr>
          <w:i/>
        </w:rPr>
        <w:t>F</w:t>
      </w:r>
      <w:r w:rsidRPr="00EE3538">
        <w:rPr>
          <w:i/>
        </w:rPr>
        <w:t>indability</w:t>
      </w:r>
      <w:r>
        <w:t xml:space="preserve">), mis on tagatud püsiidentifikaatori (DOI </w:t>
      </w:r>
      <w:r w:rsidRPr="00CA7568">
        <w:rPr>
          <w:i/>
        </w:rPr>
        <w:t>Digital Object Identifier</w:t>
      </w:r>
      <w:r>
        <w:t>), standartsete ja registreeritud metaandmetega ning mis tagab andmete masinloetava otsingu;</w:t>
      </w:r>
    </w:p>
    <w:p w:rsidR="00CA7568" w:rsidRDefault="00CA7568" w:rsidP="00CA7568">
      <w:pPr>
        <w:pStyle w:val="ListParagraph"/>
        <w:numPr>
          <w:ilvl w:val="0"/>
          <w:numId w:val="3"/>
        </w:numPr>
      </w:pPr>
      <w:r>
        <w:t>juurdepääs</w:t>
      </w:r>
      <w:r w:rsidR="00EE3538">
        <w:t>etavus</w:t>
      </w:r>
      <w:r>
        <w:t xml:space="preserve"> (</w:t>
      </w:r>
      <w:r w:rsidR="00EE3538">
        <w:t xml:space="preserve">A, </w:t>
      </w:r>
      <w:r w:rsidR="00EE3538" w:rsidRPr="00EE3538">
        <w:rPr>
          <w:i/>
        </w:rPr>
        <w:t>A</w:t>
      </w:r>
      <w:r w:rsidRPr="00EE3538">
        <w:rPr>
          <w:i/>
        </w:rPr>
        <w:t>ccessibility</w:t>
      </w:r>
      <w:r>
        <w:t>)</w:t>
      </w:r>
      <w:r w:rsidR="00EE3538">
        <w:t>, mis eeldab avaandmete ja suletud andmete eristamist ning juurdepääsu autentimist. Metaandmed on alati avatud;</w:t>
      </w:r>
    </w:p>
    <w:p w:rsidR="00EE3538" w:rsidRDefault="00EE3538" w:rsidP="00CA7568">
      <w:pPr>
        <w:pStyle w:val="ListParagraph"/>
        <w:numPr>
          <w:ilvl w:val="0"/>
          <w:numId w:val="3"/>
        </w:numPr>
      </w:pPr>
      <w:r>
        <w:t xml:space="preserve">koostöövõimelisus (I, </w:t>
      </w:r>
      <w:r w:rsidRPr="00EE3538">
        <w:rPr>
          <w:i/>
        </w:rPr>
        <w:t>Interoperability</w:t>
      </w:r>
      <w:r>
        <w:t>), mis eeldab peamiselt repositooriumi (hoidla) poolt kindlate andmete, metaandmete ja andmevahetusstandardite kasutamist;</w:t>
      </w:r>
    </w:p>
    <w:p w:rsidR="00B003A9" w:rsidRDefault="00EE3538" w:rsidP="00CB7BA0">
      <w:pPr>
        <w:pStyle w:val="ListParagraph"/>
        <w:numPr>
          <w:ilvl w:val="0"/>
          <w:numId w:val="3"/>
        </w:numPr>
      </w:pPr>
      <w:r>
        <w:lastRenderedPageBreak/>
        <w:t xml:space="preserve">taaskasutatavus (R, Reusability), mis eeldab andmete tüübi (toorandmed (raw data), puhastatud või töödeldus andmed), embargoperioodi, litsentside, andmete päritolu, kasutatud tarkvara </w:t>
      </w:r>
      <w:r w:rsidR="001426F2">
        <w:t xml:space="preserve"> jmt määratlemist.</w:t>
      </w:r>
    </w:p>
    <w:p w:rsidR="001426F2" w:rsidRDefault="001426F2" w:rsidP="00EF3407">
      <w:pPr>
        <w:pStyle w:val="Heading2"/>
      </w:pPr>
      <w:r>
        <w:t>II Andmehaldus</w:t>
      </w:r>
    </w:p>
    <w:p w:rsidR="00B003A9" w:rsidRPr="001426F2" w:rsidRDefault="00B003A9" w:rsidP="00CD6DFD">
      <w:pPr>
        <w:pStyle w:val="Pealkiri4"/>
      </w:pPr>
      <w:r w:rsidRPr="001426F2">
        <w:t xml:space="preserve">§ </w:t>
      </w:r>
      <w:r w:rsidR="001426F2" w:rsidRPr="001426F2">
        <w:t>5</w:t>
      </w:r>
      <w:r w:rsidRPr="001426F2">
        <w:t>. Avalikud andmed</w:t>
      </w:r>
    </w:p>
    <w:p w:rsidR="001426F2" w:rsidRDefault="00B003A9" w:rsidP="00C81061">
      <w:pPr>
        <w:pStyle w:val="ListParagraph"/>
        <w:numPr>
          <w:ilvl w:val="0"/>
          <w:numId w:val="4"/>
        </w:numPr>
        <w:ind w:left="426" w:hanging="426"/>
      </w:pPr>
      <w:r>
        <w:t>Avaliku sektori raha eest tehtud uurimistöö andmed on avalik</w:t>
      </w:r>
      <w:r w:rsidR="000108F9">
        <w:t xml:space="preserve">ud, tehtud avalikes huvides ning need tehakse avalikult kättesaadavaks vähimate võimalike piirangutega, mõistliku aja jooksul </w:t>
      </w:r>
      <w:r w:rsidR="00711924">
        <w:t>j</w:t>
      </w:r>
      <w:r w:rsidR="000108F9">
        <w:t>a vastutustundlikult.</w:t>
      </w:r>
    </w:p>
    <w:p w:rsidR="00CD6DFD" w:rsidRDefault="000108F9" w:rsidP="00CB7BA0">
      <w:pPr>
        <w:pStyle w:val="ListParagraph"/>
        <w:numPr>
          <w:ilvl w:val="0"/>
          <w:numId w:val="4"/>
        </w:numPr>
        <w:ind w:left="426" w:hanging="426"/>
      </w:pPr>
      <w:r>
        <w:t xml:space="preserve">Tagamaks tunnustus uurimisrühmale võib neil teatud aja jooksul olla priviligeeritud juurdepääs andmetele. </w:t>
      </w:r>
      <w:r w:rsidR="001426F2">
        <w:t>Juurdepääsupiirang võib hõlmata näiteks artikli avaldamiseels</w:t>
      </w:r>
      <w:r>
        <w:t>e</w:t>
      </w:r>
      <w:r w:rsidR="001426F2">
        <w:t>t</w:t>
      </w:r>
      <w:r>
        <w:t xml:space="preserve"> aeg</w:t>
      </w:r>
      <w:r w:rsidR="001426F2">
        <w:t>a</w:t>
      </w:r>
      <w:r>
        <w:t xml:space="preserve">, </w:t>
      </w:r>
      <w:r w:rsidR="001426F2">
        <w:t xml:space="preserve">olla põhjendatud </w:t>
      </w:r>
      <w:r>
        <w:t>andmete hankimise jõupingutuse suurus</w:t>
      </w:r>
      <w:r w:rsidR="001426F2">
        <w:t>ega, jätkuv</w:t>
      </w:r>
      <w:r w:rsidR="00174FC6">
        <w:t>a</w:t>
      </w:r>
      <w:r w:rsidR="001426F2">
        <w:t xml:space="preserve"> andmekogumisega või intellektuaalse omandi (</w:t>
      </w:r>
      <w:r>
        <w:t>IO</w:t>
      </w:r>
      <w:r w:rsidR="001426F2">
        <w:t>)</w:t>
      </w:r>
      <w:r>
        <w:t xml:space="preserve"> kaitse</w:t>
      </w:r>
      <w:r w:rsidR="001426F2">
        <w:t>ga.</w:t>
      </w:r>
    </w:p>
    <w:p w:rsidR="000108F9" w:rsidRDefault="00CD6DFD" w:rsidP="00CB7BA0">
      <w:pPr>
        <w:pStyle w:val="ListParagraph"/>
        <w:numPr>
          <w:ilvl w:val="0"/>
          <w:numId w:val="4"/>
        </w:numPr>
        <w:ind w:left="426" w:hanging="426"/>
      </w:pPr>
      <w:r>
        <w:t>Andmete k</w:t>
      </w:r>
      <w:r w:rsidR="000108F9">
        <w:t>asutajad peavad tunnustama andmete loojaid</w:t>
      </w:r>
      <w:r w:rsidR="00DF0AE7">
        <w:t xml:space="preserve">, hoidjaid ja jagajaid, </w:t>
      </w:r>
      <w:r>
        <w:t>ning</w:t>
      </w:r>
      <w:r w:rsidR="00DF0AE7">
        <w:t xml:space="preserve"> </w:t>
      </w:r>
      <w:r>
        <w:t>järgima andmete kasutus</w:t>
      </w:r>
      <w:r w:rsidR="00DF0AE7">
        <w:t>loa tingimusi</w:t>
      </w:r>
      <w:r>
        <w:t>.</w:t>
      </w:r>
    </w:p>
    <w:p w:rsidR="00CD6DFD" w:rsidRDefault="00CD6DFD" w:rsidP="00CD6DFD">
      <w:pPr>
        <w:pStyle w:val="Pealkiri4"/>
      </w:pPr>
      <w:r>
        <w:t>§ 6. Andmehalduse plaan</w:t>
      </w:r>
    </w:p>
    <w:p w:rsidR="00CD6DFD" w:rsidRDefault="00CD6DFD" w:rsidP="00ED7ED5">
      <w:pPr>
        <w:pStyle w:val="ListParagraph"/>
        <w:numPr>
          <w:ilvl w:val="0"/>
          <w:numId w:val="5"/>
        </w:numPr>
        <w:ind w:left="426" w:hanging="426"/>
      </w:pPr>
      <w:r>
        <w:t xml:space="preserve">Iga uurimisprojekti (uurimistoetus, grant, </w:t>
      </w:r>
      <w:r w:rsidR="00335B85">
        <w:t xml:space="preserve">leping, </w:t>
      </w:r>
      <w:r>
        <w:t>kraadiõppe juhendamine jmt) jaoks, mis eeldatavalt tekitab andmeid, koostatakse andmehalduse plaan (</w:t>
      </w:r>
      <w:r w:rsidRPr="00711924">
        <w:rPr>
          <w:i/>
        </w:rPr>
        <w:t>Data Management Plan</w:t>
      </w:r>
      <w:r>
        <w:t>, DMP) sõltumata sellest, kas sellise plaani esitamine on rahastuse taotlemisel nõutav.</w:t>
      </w:r>
    </w:p>
    <w:p w:rsidR="00CD6DFD" w:rsidRDefault="00CD6DFD" w:rsidP="00ED7ED5">
      <w:pPr>
        <w:pStyle w:val="ListParagraph"/>
        <w:numPr>
          <w:ilvl w:val="0"/>
          <w:numId w:val="5"/>
        </w:numPr>
        <w:ind w:left="426" w:hanging="426"/>
      </w:pPr>
      <w:r>
        <w:t xml:space="preserve">Andmehalduse plaani </w:t>
      </w:r>
      <w:r w:rsidR="009F25FF">
        <w:t>soovituslik vorm on toodud ETAg</w:t>
      </w:r>
      <w:r w:rsidR="00711924">
        <w:t>-i</w:t>
      </w:r>
      <w:r w:rsidR="009F25FF">
        <w:t xml:space="preserve"> veebilehel personaalsete uurimistoetust all </w:t>
      </w:r>
      <w:hyperlink r:id="rId8" w:history="1">
        <w:r w:rsidR="009F25FF">
          <w:rPr>
            <w:rStyle w:val="Hyperlink"/>
            <w:rFonts w:eastAsiaTheme="majorEastAsia"/>
          </w:rPr>
          <w:t>https://www.etag.ee/rahastamine/uurimistoetused/personaalne-uurimistoetus/put-taotlusvoor-2020/</w:t>
        </w:r>
      </w:hyperlink>
      <w:r w:rsidR="009F25FF">
        <w:t xml:space="preserve">. Täiendav teave on leitav TÜ Raamatukogu veebilehelt </w:t>
      </w:r>
      <w:hyperlink r:id="rId9" w:history="1">
        <w:r w:rsidR="009F25FF">
          <w:rPr>
            <w:rStyle w:val="Hyperlink"/>
            <w:rFonts w:eastAsiaTheme="majorEastAsia"/>
          </w:rPr>
          <w:t>https://utlib.ut.ee/andmehaldusplaan</w:t>
        </w:r>
      </w:hyperlink>
      <w:r w:rsidR="009F25FF">
        <w:t>.</w:t>
      </w:r>
    </w:p>
    <w:p w:rsidR="009F25FF" w:rsidRDefault="009F25FF" w:rsidP="00ED7ED5">
      <w:pPr>
        <w:pStyle w:val="ListParagraph"/>
        <w:numPr>
          <w:ilvl w:val="0"/>
          <w:numId w:val="5"/>
        </w:numPr>
        <w:ind w:left="426" w:hanging="426"/>
      </w:pPr>
      <w:r>
        <w:t>Täiendavaid vorme võib leida Ühendkuningriigi Bath’</w:t>
      </w:r>
      <w:r w:rsidR="00335B85">
        <w:t xml:space="preserve">i Ülikooli </w:t>
      </w:r>
      <w:r w:rsidR="00711924">
        <w:t>„</w:t>
      </w:r>
      <w:r w:rsidR="00335B85">
        <w:t>Research Data Policy guideline</w:t>
      </w:r>
      <w:r w:rsidR="00711924">
        <w:t>“</w:t>
      </w:r>
      <w:r w:rsidR="00335B85">
        <w:t xml:space="preserve"> punkti 6.5 alt </w:t>
      </w:r>
      <w:hyperlink r:id="rId10" w:history="1">
        <w:r w:rsidR="00335B85">
          <w:rPr>
            <w:rStyle w:val="Hyperlink"/>
            <w:rFonts w:eastAsiaTheme="majorEastAsia"/>
          </w:rPr>
          <w:t>https://www.bath.ac.uk/guides/research-data-policy-guidance/</w:t>
        </w:r>
      </w:hyperlink>
      <w:r w:rsidR="00335B85">
        <w:t>.</w:t>
      </w:r>
    </w:p>
    <w:p w:rsidR="00335B85" w:rsidRDefault="00711924" w:rsidP="00ED7ED5">
      <w:pPr>
        <w:pStyle w:val="ListParagraph"/>
        <w:numPr>
          <w:ilvl w:val="0"/>
          <w:numId w:val="5"/>
        </w:numPr>
        <w:ind w:left="426" w:hanging="426"/>
      </w:pPr>
      <w:r>
        <w:t>Soovitatav on kasutada rahastaja-</w:t>
      </w:r>
      <w:r w:rsidR="00335B85">
        <w:t>poolseid andmehalduse plaani vorme.</w:t>
      </w:r>
    </w:p>
    <w:p w:rsidR="001A687E" w:rsidRDefault="001A687E" w:rsidP="00ED7ED5">
      <w:pPr>
        <w:pStyle w:val="ListParagraph"/>
        <w:numPr>
          <w:ilvl w:val="0"/>
          <w:numId w:val="5"/>
        </w:numPr>
        <w:ind w:left="426" w:hanging="426"/>
      </w:pPr>
      <w:r>
        <w:t>Uurimisprojekti andmehalduse plaan koostatakse üldjuhul enne projekti käivitamist ja sellega peavad tutvuma ja seda järgima kõik antud projekti täitjad.</w:t>
      </w:r>
    </w:p>
    <w:p w:rsidR="003A277A" w:rsidRDefault="00335B85" w:rsidP="00335B85">
      <w:pPr>
        <w:pStyle w:val="Pealkiri4"/>
      </w:pPr>
      <w:r>
        <w:t xml:space="preserve">§ 7. </w:t>
      </w:r>
      <w:r w:rsidR="003A277A">
        <w:t>Metaandmed</w:t>
      </w:r>
    </w:p>
    <w:p w:rsidR="00E048BD" w:rsidRDefault="003A277A" w:rsidP="00E048BD">
      <w:pPr>
        <w:pStyle w:val="ListParagraph"/>
        <w:numPr>
          <w:ilvl w:val="0"/>
          <w:numId w:val="10"/>
        </w:numPr>
        <w:ind w:left="426" w:hanging="426"/>
      </w:pPr>
      <w:r>
        <w:t>Metaandmed on andmeid kirjeldavad andmed ehk andmed andmete kohta</w:t>
      </w:r>
      <w:r w:rsidR="008156ED">
        <w:t xml:space="preserve"> ehk </w:t>
      </w:r>
      <w:r w:rsidR="008156ED" w:rsidRPr="008156ED">
        <w:t xml:space="preserve"> informatsioon andmeüksuse kohta, mis võimaldab andmeid kirjeldada ja arhiveerida, andmeid leida ja identifitseerida ning andmeüksusele viida</w:t>
      </w:r>
      <w:r w:rsidR="008156ED">
        <w:t xml:space="preserve">. Metaandmete alusel omistatakse (repositooriumi poolt) andmetele unikaalne objekti digitaalidentifikaator (ingl k </w:t>
      </w:r>
      <w:r w:rsidR="008156ED" w:rsidRPr="008156ED">
        <w:rPr>
          <w:i/>
        </w:rPr>
        <w:t>Digital Object Identifier, DOI</w:t>
      </w:r>
      <w:r w:rsidR="008156ED">
        <w:t>).</w:t>
      </w:r>
    </w:p>
    <w:p w:rsidR="00E048BD" w:rsidRDefault="008156ED" w:rsidP="00E048BD">
      <w:pPr>
        <w:pStyle w:val="ListParagraph"/>
        <w:numPr>
          <w:ilvl w:val="0"/>
          <w:numId w:val="10"/>
        </w:numPr>
        <w:ind w:left="426" w:hanging="426"/>
      </w:pPr>
      <w:r>
        <w:t xml:space="preserve">Üleilmse mittetulundusühingu DataCite (vt </w:t>
      </w:r>
      <w:hyperlink r:id="rId11" w:history="1">
        <w:r w:rsidRPr="008156ED">
          <w:rPr>
            <w:rStyle w:val="Hyperlink"/>
          </w:rPr>
          <w:t>DataCite Eesti</w:t>
        </w:r>
      </w:hyperlink>
      <w:r>
        <w:t xml:space="preserve"> konsortsium), mis annab repositooriumidele</w:t>
      </w:r>
      <w:r w:rsidR="00B43F5C">
        <w:t xml:space="preserve"> </w:t>
      </w:r>
      <w:r>
        <w:t xml:space="preserve">õiguse omistada DOI-id, </w:t>
      </w:r>
      <w:r w:rsidR="00E048BD">
        <w:t>kohas</w:t>
      </w:r>
      <w:r w:rsidR="00B43F5C">
        <w:t>elt on k</w:t>
      </w:r>
      <w:bookmarkStart w:id="0" w:name="_GoBack"/>
      <w:bookmarkEnd w:id="0"/>
      <w:r w:rsidR="00B43F5C">
        <w:t>ohustuslikud metaandmed:</w:t>
      </w:r>
    </w:p>
    <w:p w:rsidR="008156ED" w:rsidRDefault="00E048BD" w:rsidP="00E048BD">
      <w:pPr>
        <w:pStyle w:val="ListParagraph"/>
        <w:numPr>
          <w:ilvl w:val="0"/>
          <w:numId w:val="11"/>
        </w:numPr>
      </w:pPr>
      <w:r>
        <w:t>identifikaator (registreerib repositoorium);</w:t>
      </w:r>
    </w:p>
    <w:p w:rsidR="00E048BD" w:rsidRDefault="00E048BD" w:rsidP="00E048BD">
      <w:pPr>
        <w:pStyle w:val="ListParagraph"/>
        <w:numPr>
          <w:ilvl w:val="0"/>
          <w:numId w:val="11"/>
        </w:numPr>
      </w:pPr>
      <w:r>
        <w:t>andmekogu looja(d);</w:t>
      </w:r>
    </w:p>
    <w:p w:rsidR="00E048BD" w:rsidRDefault="00E048BD" w:rsidP="00E048BD">
      <w:pPr>
        <w:pStyle w:val="ListParagraph"/>
        <w:numPr>
          <w:ilvl w:val="0"/>
          <w:numId w:val="11"/>
        </w:numPr>
      </w:pPr>
      <w:r>
        <w:t>pealkiri;</w:t>
      </w:r>
    </w:p>
    <w:p w:rsidR="00E048BD" w:rsidRDefault="00E048BD" w:rsidP="00E048BD">
      <w:pPr>
        <w:pStyle w:val="ListParagraph"/>
        <w:numPr>
          <w:ilvl w:val="0"/>
          <w:numId w:val="11"/>
        </w:numPr>
      </w:pPr>
      <w:r>
        <w:t>väljaandja (keskus, kes hoiab, arhiveerib ja publitseerib andmeid);</w:t>
      </w:r>
    </w:p>
    <w:p w:rsidR="00E048BD" w:rsidRDefault="00E048BD" w:rsidP="00E048BD">
      <w:pPr>
        <w:pStyle w:val="ListParagraph"/>
        <w:numPr>
          <w:ilvl w:val="0"/>
          <w:numId w:val="11"/>
        </w:numPr>
      </w:pPr>
      <w:r>
        <w:t>väljaandmise aasta, s.t aasta, mil andmed tehakse avalikult kättesaadavaks;</w:t>
      </w:r>
    </w:p>
    <w:p w:rsidR="00E048BD" w:rsidRDefault="00E048BD" w:rsidP="00E048BD">
      <w:pPr>
        <w:pStyle w:val="ListParagraph"/>
        <w:numPr>
          <w:ilvl w:val="0"/>
          <w:numId w:val="11"/>
        </w:numPr>
      </w:pPr>
      <w:r>
        <w:t>andmeallika tüüp (andmekogu, tekst, pilt, heli).</w:t>
      </w:r>
    </w:p>
    <w:p w:rsidR="00E048BD" w:rsidRDefault="00E048BD" w:rsidP="00E048BD">
      <w:pPr>
        <w:pStyle w:val="ListParagraph"/>
        <w:numPr>
          <w:ilvl w:val="0"/>
          <w:numId w:val="10"/>
        </w:numPr>
        <w:ind w:left="426" w:hanging="426"/>
      </w:pPr>
      <w:r>
        <w:t>DataCite’i soovituslikud metaandmed on:</w:t>
      </w:r>
    </w:p>
    <w:p w:rsidR="00E048BD" w:rsidRDefault="00E048BD" w:rsidP="00E048BD">
      <w:pPr>
        <w:pStyle w:val="ListParagraph"/>
        <w:numPr>
          <w:ilvl w:val="0"/>
          <w:numId w:val="12"/>
        </w:numPr>
        <w:ind w:left="851" w:hanging="425"/>
      </w:pPr>
      <w:r>
        <w:t>teema (märksõna</w:t>
      </w:r>
      <w:r w:rsidR="00B43F5C">
        <w:t>)</w:t>
      </w:r>
      <w:r>
        <w:t>;</w:t>
      </w:r>
    </w:p>
    <w:p w:rsidR="00E048BD" w:rsidRDefault="00E048BD" w:rsidP="00E048BD">
      <w:pPr>
        <w:pStyle w:val="ListParagraph"/>
        <w:numPr>
          <w:ilvl w:val="0"/>
          <w:numId w:val="12"/>
        </w:numPr>
        <w:ind w:left="851" w:hanging="425"/>
      </w:pPr>
      <w:r>
        <w:t>kaasautor (isik, kes</w:t>
      </w:r>
      <w:r w:rsidR="00B43F5C">
        <w:t xml:space="preserve"> </w:t>
      </w:r>
      <w:r>
        <w:t>vastutav andmehalduse eest)</w:t>
      </w:r>
      <w:r w:rsidR="00B43F5C">
        <w:t>;</w:t>
      </w:r>
    </w:p>
    <w:p w:rsidR="00E048BD" w:rsidRDefault="00E048BD" w:rsidP="00E048BD">
      <w:pPr>
        <w:pStyle w:val="ListParagraph"/>
        <w:numPr>
          <w:ilvl w:val="0"/>
          <w:numId w:val="12"/>
        </w:numPr>
        <w:ind w:left="851" w:hanging="425"/>
      </w:pPr>
      <w:r>
        <w:lastRenderedPageBreak/>
        <w:t>kuupäev;</w:t>
      </w:r>
    </w:p>
    <w:p w:rsidR="00E048BD" w:rsidRDefault="00E048BD" w:rsidP="00E048BD">
      <w:pPr>
        <w:pStyle w:val="ListParagraph"/>
        <w:numPr>
          <w:ilvl w:val="0"/>
          <w:numId w:val="12"/>
        </w:numPr>
        <w:ind w:left="851" w:hanging="425"/>
      </w:pPr>
      <w:r>
        <w:t xml:space="preserve">seotud püsiidentifikaatorid (arXiv, bibcode, DOI, </w:t>
      </w:r>
      <w:r w:rsidRPr="00B43F5C">
        <w:rPr>
          <w:color w:val="2F5496" w:themeColor="accent5" w:themeShade="BF"/>
        </w:rPr>
        <w:t>Handle</w:t>
      </w:r>
      <w:r>
        <w:t>, ISBN, URL);</w:t>
      </w:r>
    </w:p>
    <w:p w:rsidR="00E048BD" w:rsidRDefault="00E048BD" w:rsidP="00E048BD">
      <w:pPr>
        <w:pStyle w:val="ListParagraph"/>
        <w:numPr>
          <w:ilvl w:val="0"/>
          <w:numId w:val="12"/>
        </w:numPr>
        <w:ind w:left="851" w:hanging="425"/>
      </w:pPr>
      <w:r>
        <w:t>kirjeldus (</w:t>
      </w:r>
      <w:r w:rsidRPr="00E048BD">
        <w:rPr>
          <w:i/>
        </w:rPr>
        <w:t>Abstract</w:t>
      </w:r>
      <w:r>
        <w:t>).</w:t>
      </w:r>
    </w:p>
    <w:p w:rsidR="00E048BD" w:rsidRDefault="00B43F5C" w:rsidP="00E048BD">
      <w:pPr>
        <w:pStyle w:val="ListParagraph"/>
        <w:numPr>
          <w:ilvl w:val="0"/>
          <w:numId w:val="10"/>
        </w:numPr>
        <w:ind w:left="426" w:hanging="426"/>
      </w:pPr>
      <w:r>
        <w:t>Alternatiivseid metaandmete standardeid:</w:t>
      </w:r>
    </w:p>
    <w:p w:rsidR="00B43F5C" w:rsidRPr="001D51E1" w:rsidRDefault="00B43F5C" w:rsidP="001D51E1">
      <w:pPr>
        <w:pStyle w:val="ListParagraph"/>
        <w:numPr>
          <w:ilvl w:val="0"/>
          <w:numId w:val="13"/>
        </w:numPr>
        <w:ind w:left="709" w:hanging="283"/>
        <w:rPr>
          <w:color w:val="1F4E79" w:themeColor="accent1" w:themeShade="80"/>
        </w:rPr>
      </w:pPr>
      <w:r w:rsidRPr="00B43F5C">
        <w:t xml:space="preserve">Dublin </w:t>
      </w:r>
      <w:proofErr w:type="spellStart"/>
      <w:r w:rsidRPr="00B43F5C">
        <w:t>Core</w:t>
      </w:r>
      <w:proofErr w:type="spellEnd"/>
      <w:r w:rsidRPr="00B43F5C">
        <w:t xml:space="preserve"> </w:t>
      </w:r>
      <w:proofErr w:type="spellStart"/>
      <w:r w:rsidRPr="00B43F5C">
        <w:t>Metadata</w:t>
      </w:r>
      <w:proofErr w:type="spellEnd"/>
      <w:r w:rsidRPr="00B43F5C">
        <w:t xml:space="preserve"> Element </w:t>
      </w:r>
      <w:proofErr w:type="spellStart"/>
      <w:r w:rsidRPr="00B43F5C">
        <w:t>Set</w:t>
      </w:r>
      <w:proofErr w:type="spellEnd"/>
      <w:r>
        <w:t>, vt</w:t>
      </w:r>
      <w:r w:rsidRPr="001D51E1">
        <w:rPr>
          <w:rFonts w:ascii="Arial" w:hAnsi="Arial" w:cs="Arial"/>
          <w:color w:val="8EAADB" w:themeColor="accent5" w:themeTint="99"/>
          <w:sz w:val="21"/>
          <w:szCs w:val="21"/>
          <w:shd w:val="clear" w:color="auto" w:fill="FFFFFF"/>
        </w:rPr>
        <w:t> </w:t>
      </w:r>
      <w:r w:rsidR="001D51E1" w:rsidRPr="001D51E1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12" w:tgtFrame="_blank" w:history="1">
        <w:r w:rsidR="001D51E1" w:rsidRPr="001D51E1">
          <w:rPr>
            <w:rStyle w:val="Hyperlink"/>
            <w:rFonts w:ascii="Arial" w:eastAsiaTheme="majorEastAsia" w:hAnsi="Arial" w:cs="Arial"/>
            <w:color w:val="3333FF"/>
            <w:sz w:val="21"/>
            <w:szCs w:val="21"/>
            <w:bdr w:val="none" w:sz="0" w:space="0" w:color="auto" w:frame="1"/>
            <w:shd w:val="clear" w:color="auto" w:fill="FFFFFF"/>
          </w:rPr>
          <w:t>http://dublincore.org/metadata-basics/</w:t>
        </w:r>
      </w:hyperlink>
      <w:r w:rsidRPr="001D51E1">
        <w:rPr>
          <w:color w:val="8EAADB" w:themeColor="accent5" w:themeTint="99"/>
        </w:rPr>
        <w:t>;</w:t>
      </w:r>
    </w:p>
    <w:p w:rsidR="00B43F5C" w:rsidRDefault="00B43F5C" w:rsidP="00B43F5C">
      <w:pPr>
        <w:pStyle w:val="ListParagraph"/>
        <w:numPr>
          <w:ilvl w:val="0"/>
          <w:numId w:val="13"/>
        </w:numPr>
        <w:ind w:left="709" w:hanging="283"/>
      </w:pPr>
      <w:proofErr w:type="spellStart"/>
      <w:r w:rsidRPr="00B43F5C">
        <w:t>Data</w:t>
      </w:r>
      <w:proofErr w:type="spellEnd"/>
      <w:r w:rsidRPr="00B43F5C">
        <w:t xml:space="preserve"> </w:t>
      </w:r>
      <w:proofErr w:type="spellStart"/>
      <w:r w:rsidRPr="00B43F5C">
        <w:t>Documentation</w:t>
      </w:r>
      <w:proofErr w:type="spellEnd"/>
      <w:r w:rsidRPr="00B43F5C">
        <w:t xml:space="preserve"> </w:t>
      </w:r>
      <w:proofErr w:type="spellStart"/>
      <w:r w:rsidRPr="00B43F5C">
        <w:t>Initiative</w:t>
      </w:r>
      <w:proofErr w:type="spellEnd"/>
      <w:r w:rsidRPr="00B43F5C">
        <w:t xml:space="preserve"> (DDI)</w:t>
      </w:r>
      <w:r>
        <w:t xml:space="preserve">, vt </w:t>
      </w:r>
      <w:hyperlink r:id="rId13" w:history="1">
        <w:r w:rsidRPr="00531EB6">
          <w:rPr>
            <w:rStyle w:val="Hyperlink"/>
          </w:rPr>
          <w:t>http://www.ddialliance.org</w:t>
        </w:r>
      </w:hyperlink>
    </w:p>
    <w:p w:rsidR="00B43F5C" w:rsidRDefault="00B43F5C" w:rsidP="00B43F5C">
      <w:pPr>
        <w:pStyle w:val="ListParagraph"/>
        <w:numPr>
          <w:ilvl w:val="0"/>
          <w:numId w:val="13"/>
        </w:numPr>
        <w:ind w:left="709" w:hanging="283"/>
      </w:pPr>
      <w:r w:rsidRPr="00B43F5C">
        <w:t xml:space="preserve">UK </w:t>
      </w:r>
      <w:proofErr w:type="spellStart"/>
      <w:r w:rsidRPr="00B43F5C">
        <w:t>Digital</w:t>
      </w:r>
      <w:proofErr w:type="spellEnd"/>
      <w:r w:rsidRPr="00B43F5C">
        <w:t xml:space="preserve"> </w:t>
      </w:r>
      <w:proofErr w:type="spellStart"/>
      <w:r w:rsidRPr="00B43F5C">
        <w:t>Curation</w:t>
      </w:r>
      <w:proofErr w:type="spellEnd"/>
      <w:r w:rsidRPr="00B43F5C">
        <w:t xml:space="preserve"> </w:t>
      </w:r>
      <w:proofErr w:type="spellStart"/>
      <w:r w:rsidRPr="00B43F5C">
        <w:t>Centre</w:t>
      </w:r>
      <w:proofErr w:type="spellEnd"/>
      <w:r w:rsidRPr="00B43F5C">
        <w:t xml:space="preserve">: List of </w:t>
      </w:r>
      <w:proofErr w:type="spellStart"/>
      <w:r w:rsidRPr="00B43F5C">
        <w:t>Metadata</w:t>
      </w:r>
      <w:proofErr w:type="spellEnd"/>
      <w:r w:rsidRPr="00B43F5C">
        <w:t xml:space="preserve"> </w:t>
      </w:r>
      <w:proofErr w:type="spellStart"/>
      <w:r w:rsidRPr="00B43F5C">
        <w:t>Standards</w:t>
      </w:r>
      <w:proofErr w:type="spellEnd"/>
      <w:r w:rsidRPr="00B43F5C">
        <w:t xml:space="preserve">: </w:t>
      </w:r>
      <w:hyperlink r:id="rId14" w:history="1">
        <w:r w:rsidRPr="00531EB6">
          <w:rPr>
            <w:rStyle w:val="Hyperlink"/>
          </w:rPr>
          <w:t>http://www.dcc.ac.uk/drupal/resources/metadata-standards</w:t>
        </w:r>
      </w:hyperlink>
      <w:r>
        <w:t>;</w:t>
      </w:r>
    </w:p>
    <w:p w:rsidR="00B43F5C" w:rsidRDefault="00B43F5C" w:rsidP="00AD5E56">
      <w:pPr>
        <w:pStyle w:val="ListParagraph"/>
        <w:numPr>
          <w:ilvl w:val="0"/>
          <w:numId w:val="13"/>
        </w:numPr>
      </w:pPr>
      <w:proofErr w:type="spellStart"/>
      <w:r w:rsidRPr="00B43F5C">
        <w:t>The</w:t>
      </w:r>
      <w:proofErr w:type="spellEnd"/>
      <w:r w:rsidRPr="00B43F5C">
        <w:t xml:space="preserve"> </w:t>
      </w:r>
      <w:proofErr w:type="spellStart"/>
      <w:r w:rsidRPr="00B43F5C">
        <w:t>Research</w:t>
      </w:r>
      <w:proofErr w:type="spellEnd"/>
      <w:r w:rsidRPr="00B43F5C">
        <w:t xml:space="preserve"> </w:t>
      </w:r>
      <w:proofErr w:type="spellStart"/>
      <w:r w:rsidRPr="00B43F5C">
        <w:t>Data</w:t>
      </w:r>
      <w:proofErr w:type="spellEnd"/>
      <w:r w:rsidRPr="00B43F5C">
        <w:t xml:space="preserve"> </w:t>
      </w:r>
      <w:proofErr w:type="spellStart"/>
      <w:r w:rsidRPr="00B43F5C">
        <w:t>Alliance</w:t>
      </w:r>
      <w:proofErr w:type="spellEnd"/>
      <w:r w:rsidRPr="00B43F5C">
        <w:t xml:space="preserve"> </w:t>
      </w:r>
      <w:proofErr w:type="spellStart"/>
      <w:r w:rsidRPr="00B43F5C">
        <w:t>Metadata</w:t>
      </w:r>
      <w:proofErr w:type="spellEnd"/>
      <w:r w:rsidRPr="00B43F5C">
        <w:t xml:space="preserve"> </w:t>
      </w:r>
      <w:proofErr w:type="spellStart"/>
      <w:r w:rsidRPr="00B43F5C">
        <w:t>Standards</w:t>
      </w:r>
      <w:proofErr w:type="spellEnd"/>
      <w:r w:rsidRPr="00B43F5C">
        <w:t xml:space="preserve"> </w:t>
      </w:r>
      <w:proofErr w:type="spellStart"/>
      <w:r w:rsidRPr="00B43F5C">
        <w:t>Directory</w:t>
      </w:r>
      <w:proofErr w:type="spellEnd"/>
      <w:r w:rsidRPr="00B43F5C">
        <w:t xml:space="preserve">, </w:t>
      </w:r>
      <w:hyperlink r:id="rId15" w:history="1">
        <w:r w:rsidRPr="00531EB6">
          <w:rPr>
            <w:rStyle w:val="Hyperlink"/>
          </w:rPr>
          <w:t>http://rd-alliance.github.io/metadata-directory</w:t>
        </w:r>
      </w:hyperlink>
      <w:r>
        <w:t>.</w:t>
      </w:r>
    </w:p>
    <w:p w:rsidR="00335B85" w:rsidRDefault="008156ED" w:rsidP="00335B85">
      <w:pPr>
        <w:pStyle w:val="Pealkiri4"/>
      </w:pPr>
      <w:r>
        <w:t xml:space="preserve">§ 8. </w:t>
      </w:r>
      <w:r w:rsidR="00056F4A">
        <w:t>Vastutus andmehalduse eest</w:t>
      </w:r>
    </w:p>
    <w:p w:rsidR="00056F4A" w:rsidRDefault="00335B85" w:rsidP="008143B9">
      <w:pPr>
        <w:pStyle w:val="ListParagraph"/>
        <w:numPr>
          <w:ilvl w:val="0"/>
          <w:numId w:val="6"/>
        </w:numPr>
        <w:ind w:left="426" w:hanging="426"/>
      </w:pPr>
      <w:r>
        <w:t>Andmehalduse eest vastutab uurimisprojekti vastutav täitja (</w:t>
      </w:r>
      <w:r w:rsidRPr="00056F4A">
        <w:rPr>
          <w:i/>
        </w:rPr>
        <w:t>Principal Investigator</w:t>
      </w:r>
      <w:r>
        <w:t>, PI)</w:t>
      </w:r>
      <w:r w:rsidR="001A687E">
        <w:t xml:space="preserve"> või kraadiõppuri </w:t>
      </w:r>
      <w:r w:rsidR="00056F4A">
        <w:t>peamine KBFI-poolne juhendaja. Juhul kui andmehalduse vastutus delegeeritakse kellelegi teisele, märgitakse see andmehalduse plaani.</w:t>
      </w:r>
    </w:p>
    <w:p w:rsidR="00056F4A" w:rsidRDefault="00056F4A" w:rsidP="008143B9">
      <w:pPr>
        <w:pStyle w:val="ListParagraph"/>
        <w:numPr>
          <w:ilvl w:val="0"/>
          <w:numId w:val="6"/>
        </w:numPr>
        <w:ind w:left="426" w:hanging="426"/>
      </w:pPr>
      <w:r>
        <w:t>Juhul kui andmehalduse eest vastutajat ei ole, vastutab selle eest Laboratooriumi juhataja.</w:t>
      </w:r>
    </w:p>
    <w:p w:rsidR="00056F4A" w:rsidRDefault="00056F4A" w:rsidP="008143B9">
      <w:pPr>
        <w:pStyle w:val="ListParagraph"/>
        <w:numPr>
          <w:ilvl w:val="0"/>
          <w:numId w:val="6"/>
        </w:numPr>
        <w:ind w:left="426" w:hanging="426"/>
      </w:pPr>
      <w:r>
        <w:t>Igapäevast uurimisandmete haldust (andmete loomine-kogumine, salvestamine jne) teostavad kõik projekti täitjad, kes vastutavad loodud või kasutatud andmete</w:t>
      </w:r>
      <w:r w:rsidR="00711924">
        <w:t xml:space="preserve"> eest</w:t>
      </w:r>
      <w:r w:rsidR="002332CA">
        <w:t>. Kraadiõppuri andmehalduse üle teostab järelevalvet tema juhendaja.</w:t>
      </w:r>
    </w:p>
    <w:p w:rsidR="002332CA" w:rsidRDefault="00B25B5E" w:rsidP="008143B9">
      <w:pPr>
        <w:pStyle w:val="ListParagraph"/>
        <w:numPr>
          <w:ilvl w:val="0"/>
          <w:numId w:val="6"/>
        </w:numPr>
        <w:ind w:left="426" w:hanging="426"/>
      </w:pPr>
      <w:r>
        <w:t>Enne töölt lahkumist peab töötaja töö vahetu korraldaja või Laboratooriumi juhatajaga kokku leppima enda poolt loodud andmete haldamises ja säilitamises</w:t>
      </w:r>
      <w:r w:rsidR="00711924">
        <w:t xml:space="preserve"> ning</w:t>
      </w:r>
      <w:r>
        <w:t xml:space="preserve"> kooskõlas õigusaktide, rahastamisallika, lepinguliste tingimuste ja muude nõuetega kokku leppima, kas Instituut saab uurimisprojekti jätkamiseks andmete koopia ja kas töötaja saab andmete koopia.</w:t>
      </w:r>
    </w:p>
    <w:p w:rsidR="00723B35" w:rsidRDefault="008156ED" w:rsidP="00723B35">
      <w:pPr>
        <w:pStyle w:val="Pealkiri4"/>
      </w:pPr>
      <w:r>
        <w:t>§ 9</w:t>
      </w:r>
      <w:r w:rsidR="00D86A1C">
        <w:t xml:space="preserve">. </w:t>
      </w:r>
      <w:r w:rsidR="00723B35">
        <w:t>Andmete säilitamine</w:t>
      </w:r>
      <w:r w:rsidR="00A64DD2">
        <w:t xml:space="preserve"> ja juurdepääs</w:t>
      </w:r>
    </w:p>
    <w:p w:rsidR="00723B35" w:rsidRDefault="00723B35" w:rsidP="00174FC6">
      <w:pPr>
        <w:pStyle w:val="ListParagraph"/>
        <w:numPr>
          <w:ilvl w:val="0"/>
          <w:numId w:val="9"/>
        </w:numPr>
        <w:ind w:left="426" w:hanging="426"/>
      </w:pPr>
      <w:r>
        <w:t>Andmete kaotsimineku vältimiseks, nende terviklikkuse ja autentsuse tagamiseks tuleb neid säilitada vastupidavas meedias. Mälupulkasid ja väliskettaid võib kasutada ainult ajutiseks</w:t>
      </w:r>
      <w:r w:rsidR="00174FC6">
        <w:t xml:space="preserve"> </w:t>
      </w:r>
      <w:r>
        <w:t>salvestamiseks või andmete transpordiks.</w:t>
      </w:r>
      <w:r w:rsidR="00174FC6">
        <w:t xml:space="preserve"> Kui võimalik, tuleb mittedigitaalsed andmed digitaliseerida.</w:t>
      </w:r>
    </w:p>
    <w:p w:rsidR="00174FC6" w:rsidRDefault="00174FC6" w:rsidP="00174FC6">
      <w:pPr>
        <w:pStyle w:val="ListParagraph"/>
        <w:numPr>
          <w:ilvl w:val="0"/>
          <w:numId w:val="9"/>
        </w:numPr>
        <w:ind w:left="426" w:hanging="426"/>
      </w:pPr>
      <w:r>
        <w:t>Juhul kui õigusaktides või rahastamisallika reeglites ei ole sätestatud teisiti, säilitatakse säilitamisväärseid andmeid 10 aastat arvates projekti lõpust või uurimistöö publitseerimisest (lähtudes hilisemast</w:t>
      </w:r>
      <w:r w:rsidR="00A64DD2">
        <w:t>), misjärel säilitamis</w:t>
      </w:r>
      <w:r>
        <w:t>otsus vaadatakse üle.</w:t>
      </w:r>
    </w:p>
    <w:p w:rsidR="00A64DD2" w:rsidRDefault="00A64DD2" w:rsidP="00174FC6">
      <w:pPr>
        <w:pStyle w:val="ListParagraph"/>
        <w:numPr>
          <w:ilvl w:val="0"/>
          <w:numId w:val="9"/>
        </w:numPr>
        <w:ind w:left="426" w:hanging="426"/>
      </w:pPr>
      <w:r>
        <w:t>Pikaajaliseks säilitamiseks mõeldud andmetele tagatakse võimalikult vaba juurdepääs üldjuhul 12 kuu jooksula arvates uurimisprojekti lõpust või tulemuste esmasest publitseerimisest (lähtudes varasemast).</w:t>
      </w:r>
    </w:p>
    <w:p w:rsidR="00A64DD2" w:rsidRPr="00723B35" w:rsidRDefault="00A64DD2" w:rsidP="00174FC6">
      <w:pPr>
        <w:pStyle w:val="ListParagraph"/>
        <w:numPr>
          <w:ilvl w:val="0"/>
          <w:numId w:val="9"/>
        </w:numPr>
        <w:ind w:left="426" w:hanging="426"/>
      </w:pPr>
      <w:r>
        <w:t>Juurdepääsupiiranguid võib kehtestada ainult lähtudes õiguslikest, lepingulistest, eetilistest, konfidentsiaalsuse, litsentsi, äri- või muudest</w:t>
      </w:r>
      <w:r w:rsidRPr="00A64DD2">
        <w:t xml:space="preserve"> </w:t>
      </w:r>
      <w:r>
        <w:t>nõuetest või kui andmete avaldamine on ebamõistlikult kallis.</w:t>
      </w:r>
    </w:p>
    <w:p w:rsidR="00D86A1C" w:rsidRDefault="00174FC6" w:rsidP="00D86A1C">
      <w:pPr>
        <w:pStyle w:val="Pealkiri4"/>
      </w:pPr>
      <w:r>
        <w:t>§</w:t>
      </w:r>
      <w:r w:rsidR="008156ED">
        <w:t xml:space="preserve"> 10</w:t>
      </w:r>
      <w:r>
        <w:t xml:space="preserve">. </w:t>
      </w:r>
      <w:r w:rsidR="00D86A1C">
        <w:t>Andmehoidla</w:t>
      </w:r>
    </w:p>
    <w:p w:rsidR="00D86A1C" w:rsidRDefault="00D86A1C" w:rsidP="00D86A1C">
      <w:pPr>
        <w:pStyle w:val="ListParagraph"/>
        <w:numPr>
          <w:ilvl w:val="0"/>
          <w:numId w:val="7"/>
        </w:numPr>
        <w:ind w:left="426" w:hanging="426"/>
      </w:pPr>
      <w:r>
        <w:t>Instituut tagab igale andmehaldus</w:t>
      </w:r>
      <w:r w:rsidR="00074BA4">
        <w:t>e eest vastutavale isikule 100GB</w:t>
      </w:r>
      <w:r>
        <w:t xml:space="preserve"> salvestusruumi andmete lühiajaliseks (alla 10 aasta) säilitamiseks.</w:t>
      </w:r>
    </w:p>
    <w:p w:rsidR="00D86A1C" w:rsidRDefault="00D86A1C" w:rsidP="00D86A1C">
      <w:pPr>
        <w:pStyle w:val="ListParagraph"/>
        <w:numPr>
          <w:ilvl w:val="0"/>
          <w:numId w:val="7"/>
        </w:numPr>
        <w:ind w:left="426" w:hanging="426"/>
      </w:pPr>
      <w:r>
        <w:t>Suuremate andmemassiivide ja andmete pikaajaliseks säilitamiseks tuleb sõlmida leping kolmandate isikutega (näit TÜ repositoorium DataDOI vmt).</w:t>
      </w:r>
    </w:p>
    <w:p w:rsidR="00D86A1C" w:rsidRDefault="008156ED" w:rsidP="00074BA4">
      <w:pPr>
        <w:pStyle w:val="Pealkiri4"/>
      </w:pPr>
      <w:r>
        <w:t>§ 11</w:t>
      </w:r>
      <w:r w:rsidR="00D86A1C">
        <w:t>.</w:t>
      </w:r>
      <w:r w:rsidR="00723B35">
        <w:t xml:space="preserve"> And</w:t>
      </w:r>
      <w:r w:rsidR="00174FC6">
        <w:t>m</w:t>
      </w:r>
      <w:r w:rsidR="00723B35">
        <w:t>ehalduse kulud</w:t>
      </w:r>
    </w:p>
    <w:p w:rsidR="00D86A1C" w:rsidRPr="00CB7BA0" w:rsidRDefault="00723B35" w:rsidP="00D86A1C">
      <w:r>
        <w:t xml:space="preserve">Andmehalduse kulusid käsitletakse sarnaselt publitseerimiskuludele teadustöö otseste kuludena ning </w:t>
      </w:r>
      <w:r w:rsidR="00074BA4">
        <w:t>need kaetakse uurimisprojekti eelarvest.</w:t>
      </w:r>
    </w:p>
    <w:sectPr w:rsidR="00D86A1C" w:rsidRPr="00CB7BA0" w:rsidSect="00FD5AAC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CF" w:rsidRDefault="001E76CF" w:rsidP="00011A47">
      <w:r>
        <w:separator/>
      </w:r>
    </w:p>
  </w:endnote>
  <w:endnote w:type="continuationSeparator" w:id="0">
    <w:p w:rsidR="001E76CF" w:rsidRDefault="001E76CF" w:rsidP="000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33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5AAC" w:rsidRDefault="00FD5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66F">
          <w:rPr>
            <w:noProof/>
          </w:rPr>
          <w:t>2</w:t>
        </w:r>
        <w:r>
          <w:rPr>
            <w:noProof/>
          </w:rPr>
          <w:fldChar w:fldCharType="end"/>
        </w:r>
        <w:r w:rsidR="00EF3407">
          <w:rPr>
            <w:noProof/>
          </w:rPr>
          <w:t xml:space="preserve"> - 3</w:t>
        </w:r>
      </w:p>
    </w:sdtContent>
  </w:sdt>
  <w:p w:rsidR="00FD5AAC" w:rsidRDefault="00FD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CF" w:rsidRDefault="001E76CF" w:rsidP="00011A47">
      <w:r>
        <w:separator/>
      </w:r>
    </w:p>
  </w:footnote>
  <w:footnote w:type="continuationSeparator" w:id="0">
    <w:p w:rsidR="001E76CF" w:rsidRDefault="001E76CF" w:rsidP="00011A47">
      <w:r>
        <w:continuationSeparator/>
      </w:r>
    </w:p>
  </w:footnote>
  <w:footnote w:id="1">
    <w:p w:rsidR="00011A47" w:rsidRPr="00043239" w:rsidRDefault="00011A47">
      <w:pPr>
        <w:pStyle w:val="FootnoteText"/>
        <w:rPr>
          <w:sz w:val="22"/>
          <w:szCs w:val="22"/>
          <w:lang w:val="en-US"/>
        </w:rPr>
      </w:pPr>
      <w:r w:rsidRPr="00043239">
        <w:rPr>
          <w:rStyle w:val="FootnoteReference"/>
          <w:sz w:val="22"/>
          <w:szCs w:val="22"/>
        </w:rPr>
        <w:footnoteRef/>
      </w:r>
      <w:r w:rsidRPr="00043239">
        <w:rPr>
          <w:sz w:val="22"/>
          <w:szCs w:val="22"/>
        </w:rPr>
        <w:t xml:space="preserve"> OECD Frascati Manual 2015 </w:t>
      </w:r>
      <w:hyperlink r:id="rId1" w:history="1">
        <w:r w:rsidRPr="00043239">
          <w:rPr>
            <w:rStyle w:val="Hyperlink"/>
            <w:rFonts w:eastAsiaTheme="majorEastAsia"/>
            <w:sz w:val="22"/>
            <w:szCs w:val="22"/>
          </w:rPr>
          <w:t>https://www.oecd-ilibrary.org/docserver/9789264239012-en.pdf?expires=1591616586&amp;id=id&amp;accname=guest&amp;checksum=980082C887EAB09599BDB9E60B783A8F</w:t>
        </w:r>
      </w:hyperlink>
    </w:p>
  </w:footnote>
  <w:footnote w:id="2">
    <w:p w:rsidR="00043239" w:rsidRPr="00043239" w:rsidRDefault="00043239">
      <w:pPr>
        <w:pStyle w:val="FootnoteText"/>
        <w:rPr>
          <w:sz w:val="22"/>
          <w:szCs w:val="22"/>
          <w:lang w:val="en-US"/>
        </w:rPr>
      </w:pPr>
      <w:r w:rsidRPr="00043239">
        <w:rPr>
          <w:rStyle w:val="FootnoteReference"/>
          <w:sz w:val="22"/>
          <w:szCs w:val="22"/>
        </w:rPr>
        <w:footnoteRef/>
      </w:r>
      <w:r w:rsidRPr="00043239">
        <w:rPr>
          <w:sz w:val="22"/>
          <w:szCs w:val="22"/>
        </w:rPr>
        <w:t xml:space="preserve"> </w:t>
      </w:r>
      <w:r w:rsidRPr="00043239">
        <w:rPr>
          <w:sz w:val="22"/>
          <w:szCs w:val="22"/>
          <w:lang w:val="en-US"/>
        </w:rPr>
        <w:t xml:space="preserve"> Concordat </w:t>
      </w:r>
      <w:r w:rsidRPr="00043239">
        <w:rPr>
          <w:sz w:val="22"/>
          <w:szCs w:val="22"/>
        </w:rPr>
        <w:t>on Open Data</w:t>
      </w:r>
      <w:r>
        <w:t xml:space="preserve"> </w:t>
      </w:r>
      <w:hyperlink r:id="rId2" w:history="1">
        <w:r>
          <w:rPr>
            <w:rStyle w:val="Hyperlink"/>
            <w:rFonts w:eastAsiaTheme="majorEastAsia"/>
          </w:rPr>
          <w:t>https://www.ukri.org/files/legacy/documents/concordatonopenresearchdata-pdf/</w:t>
        </w:r>
      </w:hyperlink>
    </w:p>
  </w:footnote>
  <w:footnote w:id="3">
    <w:p w:rsidR="00CA7568" w:rsidRPr="00912B15" w:rsidRDefault="00912B1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CA7568" w:rsidRPr="00D34C72">
          <w:rPr>
            <w:rStyle w:val="Hyperlink"/>
            <w:sz w:val="22"/>
            <w:szCs w:val="22"/>
          </w:rPr>
          <w:t>https://www.nature.com/articles/sdata201618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F" w:rsidRDefault="005E366F" w:rsidP="005E366F">
    <w:pPr>
      <w:pStyle w:val="Header"/>
      <w:jc w:val="right"/>
    </w:pPr>
    <w:r>
      <w:t>Kinnitatud KBFI direktori 15.06.2020</w:t>
    </w:r>
  </w:p>
  <w:p w:rsidR="005E366F" w:rsidRDefault="005E366F" w:rsidP="005E366F">
    <w:pPr>
      <w:pStyle w:val="Header"/>
      <w:jc w:val="right"/>
    </w:pPr>
    <w:r>
      <w:t>käskkirjaga nr 1-2/25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82"/>
    <w:multiLevelType w:val="hybridMultilevel"/>
    <w:tmpl w:val="82EAB3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CF5"/>
    <w:multiLevelType w:val="hybridMultilevel"/>
    <w:tmpl w:val="EF34325E"/>
    <w:lvl w:ilvl="0" w:tplc="DE98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6383"/>
    <w:multiLevelType w:val="hybridMultilevel"/>
    <w:tmpl w:val="371A4FEE"/>
    <w:lvl w:ilvl="0" w:tplc="56DA5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1C4D"/>
    <w:multiLevelType w:val="hybridMultilevel"/>
    <w:tmpl w:val="21C4CE6A"/>
    <w:lvl w:ilvl="0" w:tplc="CBF06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2D5"/>
    <w:multiLevelType w:val="hybridMultilevel"/>
    <w:tmpl w:val="E0AA659C"/>
    <w:lvl w:ilvl="0" w:tplc="EE802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570C"/>
    <w:multiLevelType w:val="hybridMultilevel"/>
    <w:tmpl w:val="C242F63A"/>
    <w:lvl w:ilvl="0" w:tplc="A08EF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3AE5"/>
    <w:multiLevelType w:val="hybridMultilevel"/>
    <w:tmpl w:val="D11E1890"/>
    <w:lvl w:ilvl="0" w:tplc="CEC04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6048"/>
    <w:multiLevelType w:val="hybridMultilevel"/>
    <w:tmpl w:val="D15EA8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D05"/>
    <w:multiLevelType w:val="hybridMultilevel"/>
    <w:tmpl w:val="6DE43FBC"/>
    <w:lvl w:ilvl="0" w:tplc="4B72E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176"/>
    <w:multiLevelType w:val="hybridMultilevel"/>
    <w:tmpl w:val="73B08E50"/>
    <w:lvl w:ilvl="0" w:tplc="9050D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C55"/>
    <w:multiLevelType w:val="hybridMultilevel"/>
    <w:tmpl w:val="CBB20E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836F3"/>
    <w:multiLevelType w:val="hybridMultilevel"/>
    <w:tmpl w:val="58D68F9C"/>
    <w:lvl w:ilvl="0" w:tplc="AC8E6B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024865"/>
    <w:multiLevelType w:val="hybridMultilevel"/>
    <w:tmpl w:val="45AEB50E"/>
    <w:lvl w:ilvl="0" w:tplc="F678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A0"/>
    <w:rsid w:val="000108F9"/>
    <w:rsid w:val="00011A47"/>
    <w:rsid w:val="00043239"/>
    <w:rsid w:val="000475DE"/>
    <w:rsid w:val="00056F4A"/>
    <w:rsid w:val="00074BA4"/>
    <w:rsid w:val="000925CC"/>
    <w:rsid w:val="000C0557"/>
    <w:rsid w:val="00102335"/>
    <w:rsid w:val="001426F2"/>
    <w:rsid w:val="00145CBF"/>
    <w:rsid w:val="00174FC6"/>
    <w:rsid w:val="00177E9C"/>
    <w:rsid w:val="0019515D"/>
    <w:rsid w:val="001A5CB5"/>
    <w:rsid w:val="001A687E"/>
    <w:rsid w:val="001D0E53"/>
    <w:rsid w:val="001D51E1"/>
    <w:rsid w:val="001E76CF"/>
    <w:rsid w:val="002332CA"/>
    <w:rsid w:val="00251D93"/>
    <w:rsid w:val="00276AC4"/>
    <w:rsid w:val="002779FC"/>
    <w:rsid w:val="002F236B"/>
    <w:rsid w:val="00300FD7"/>
    <w:rsid w:val="003203E8"/>
    <w:rsid w:val="003218C9"/>
    <w:rsid w:val="00335B85"/>
    <w:rsid w:val="00354BEC"/>
    <w:rsid w:val="003A277A"/>
    <w:rsid w:val="003A5755"/>
    <w:rsid w:val="0040476F"/>
    <w:rsid w:val="0042181C"/>
    <w:rsid w:val="0043353B"/>
    <w:rsid w:val="00456465"/>
    <w:rsid w:val="004A14B6"/>
    <w:rsid w:val="004B3C3E"/>
    <w:rsid w:val="004F0E5D"/>
    <w:rsid w:val="00502AA4"/>
    <w:rsid w:val="00505E14"/>
    <w:rsid w:val="00514278"/>
    <w:rsid w:val="005718D5"/>
    <w:rsid w:val="0059429F"/>
    <w:rsid w:val="005A713B"/>
    <w:rsid w:val="005B3174"/>
    <w:rsid w:val="005D299A"/>
    <w:rsid w:val="005E366F"/>
    <w:rsid w:val="0060341B"/>
    <w:rsid w:val="0062444A"/>
    <w:rsid w:val="0069059D"/>
    <w:rsid w:val="006B2E7B"/>
    <w:rsid w:val="006B74B3"/>
    <w:rsid w:val="00711924"/>
    <w:rsid w:val="00723B35"/>
    <w:rsid w:val="00741F95"/>
    <w:rsid w:val="007A5561"/>
    <w:rsid w:val="008156ED"/>
    <w:rsid w:val="008630C4"/>
    <w:rsid w:val="00891461"/>
    <w:rsid w:val="008B73E3"/>
    <w:rsid w:val="00912B15"/>
    <w:rsid w:val="009509D9"/>
    <w:rsid w:val="0096519A"/>
    <w:rsid w:val="00973F5B"/>
    <w:rsid w:val="00975115"/>
    <w:rsid w:val="009A10CB"/>
    <w:rsid w:val="009A1D19"/>
    <w:rsid w:val="009B2E65"/>
    <w:rsid w:val="009C0188"/>
    <w:rsid w:val="009F25FF"/>
    <w:rsid w:val="00A10C56"/>
    <w:rsid w:val="00A64DD2"/>
    <w:rsid w:val="00A70EF9"/>
    <w:rsid w:val="00AA39FA"/>
    <w:rsid w:val="00AC1979"/>
    <w:rsid w:val="00AF2939"/>
    <w:rsid w:val="00B003A9"/>
    <w:rsid w:val="00B23C42"/>
    <w:rsid w:val="00B25B5E"/>
    <w:rsid w:val="00B3137A"/>
    <w:rsid w:val="00B43F5C"/>
    <w:rsid w:val="00B76639"/>
    <w:rsid w:val="00BB211C"/>
    <w:rsid w:val="00BC6933"/>
    <w:rsid w:val="00C50026"/>
    <w:rsid w:val="00C5199E"/>
    <w:rsid w:val="00CA7568"/>
    <w:rsid w:val="00CB7BA0"/>
    <w:rsid w:val="00CD6DFD"/>
    <w:rsid w:val="00CF5A6A"/>
    <w:rsid w:val="00D00812"/>
    <w:rsid w:val="00D11333"/>
    <w:rsid w:val="00D150C6"/>
    <w:rsid w:val="00D337D5"/>
    <w:rsid w:val="00D86A1C"/>
    <w:rsid w:val="00DF0AE7"/>
    <w:rsid w:val="00E048BD"/>
    <w:rsid w:val="00E14C8D"/>
    <w:rsid w:val="00EB11FB"/>
    <w:rsid w:val="00EB7FF7"/>
    <w:rsid w:val="00ED7ED5"/>
    <w:rsid w:val="00EE2310"/>
    <w:rsid w:val="00EE3538"/>
    <w:rsid w:val="00EF3407"/>
    <w:rsid w:val="00F3202D"/>
    <w:rsid w:val="00F378BB"/>
    <w:rsid w:val="00F4128D"/>
    <w:rsid w:val="00F544A5"/>
    <w:rsid w:val="00FD5AAC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F99A8"/>
  <w15:chartTrackingRefBased/>
  <w15:docId w15:val="{3D5DB08F-FAB3-4339-BC37-6758E32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Lt BT" w:eastAsia="Times New Roman" w:hAnsi="Futura Lt BT" w:cs="Arial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12"/>
    <w:pPr>
      <w:spacing w:after="0" w:line="240" w:lineRule="auto"/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40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12"/>
    <w:pPr>
      <w:keepNext/>
      <w:keepLines/>
      <w:spacing w:before="40"/>
      <w:outlineLvl w:val="3"/>
    </w:pPr>
    <w:rPr>
      <w:rFonts w:eastAsiaTheme="majorEastAsia" w:cstheme="majorBidi"/>
      <w:b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BA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Strong">
    <w:name w:val="Strong"/>
    <w:uiPriority w:val="22"/>
    <w:qFormat/>
    <w:rsid w:val="00CB7BA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F3407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A4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A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1A47"/>
    <w:rPr>
      <w:color w:val="0000FF"/>
      <w:u w:val="single"/>
    </w:rPr>
  </w:style>
  <w:style w:type="paragraph" w:customStyle="1" w:styleId="Pealkiri4">
    <w:name w:val="Pealkiri 4"/>
    <w:basedOn w:val="Normal"/>
    <w:next w:val="Normal"/>
    <w:qFormat/>
    <w:rsid w:val="00BB211C"/>
    <w:pPr>
      <w:spacing w:before="120" w:after="6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12"/>
    <w:rPr>
      <w:rFonts w:eastAsiaTheme="majorEastAsia" w:cstheme="majorBidi"/>
      <w:b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ED7E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A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g.ee/rahastamine/uurimistoetused/personaalne-uurimistoetus/put-taotlusvoor-2020/" TargetMode="External"/><Relationship Id="rId13" Type="http://schemas.openxmlformats.org/officeDocument/2006/relationships/hyperlink" Target="http://www.ddiallianc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ublincore.org/metadata-basic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cite.ee/scientist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d-alliance.github.io/metadata-directory" TargetMode="External"/><Relationship Id="rId10" Type="http://schemas.openxmlformats.org/officeDocument/2006/relationships/hyperlink" Target="https://www.bath.ac.uk/guides/research-data-policy-guidance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utlib.ut.ee/andmehaldusplaan" TargetMode="External"/><Relationship Id="rId14" Type="http://schemas.openxmlformats.org/officeDocument/2006/relationships/hyperlink" Target="http://www.dcc.ac.uk/drupal/resources/metadata-standard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ture.com/articles/sdata201618" TargetMode="External"/><Relationship Id="rId2" Type="http://schemas.openxmlformats.org/officeDocument/2006/relationships/hyperlink" Target="https://www.ukri.org/files/legacy/documents/concordatonopenresearchdata-pdf/" TargetMode="External"/><Relationship Id="rId1" Type="http://schemas.openxmlformats.org/officeDocument/2006/relationships/hyperlink" Target="https://www.oecd-ilibrary.org/docserver/9789264239012-en.pdf?expires=1591616586&amp;id=id&amp;accname=guest&amp;checksum=980082C887EAB09599BDB9E60B783A8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A7"/>
    <w:rsid w:val="00014CA7"/>
    <w:rsid w:val="002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D8116B1EA2488C88DD4527CBF2BE5D">
    <w:name w:val="52D8116B1EA2488C88DD4527CBF2BE5D"/>
    <w:rsid w:val="00014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188B-C2C0-4E8E-ACC6-B3FBB9FE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1250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9</cp:revision>
  <dcterms:created xsi:type="dcterms:W3CDTF">2020-06-08T12:43:00Z</dcterms:created>
  <dcterms:modified xsi:type="dcterms:W3CDTF">2020-06-15T12:33:00Z</dcterms:modified>
</cp:coreProperties>
</file>